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67" w:rsidRPr="00512A53" w:rsidRDefault="00003F67" w:rsidP="00C64FD1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ES" w:eastAsia="zh-CN" w:bidi="hi-IN"/>
        </w:rPr>
      </w:pPr>
    </w:p>
    <w:p w:rsidR="00003F67" w:rsidRPr="00512A53" w:rsidRDefault="00003F67" w:rsidP="00C64FD1">
      <w:pPr>
        <w:pStyle w:val="Sinespaciado"/>
        <w:pBdr>
          <w:bottom w:val="single" w:sz="4" w:space="1" w:color="auto"/>
        </w:pBdr>
        <w:spacing w:line="276" w:lineRule="auto"/>
        <w:jc w:val="both"/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Samborondón, </w:t>
      </w:r>
      <w:r w:rsidR="00E7527E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5</w:t>
      </w: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 de </w:t>
      </w:r>
      <w:r w:rsidR="00E7527E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enero</w:t>
      </w: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 de 20</w:t>
      </w:r>
      <w:r w:rsidR="00E7527E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21</w:t>
      </w:r>
    </w:p>
    <w:p w:rsidR="00003F67" w:rsidRPr="00512A53" w:rsidRDefault="00003F67" w:rsidP="00C64FD1">
      <w:pPr>
        <w:pStyle w:val="Sinespaciado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3F67" w:rsidRPr="00512A53" w:rsidRDefault="00003F67" w:rsidP="00041E69">
      <w:pPr>
        <w:pStyle w:val="Sinespaciado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3F67" w:rsidRPr="00512A53" w:rsidRDefault="00003F67" w:rsidP="00041E69">
      <w:pPr>
        <w:pStyle w:val="Sinespaciado1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bidi="hi-IN"/>
        </w:rPr>
        <w:t>DIRECCIÓN DE TECNOLOGÍAS DE LA INFORMACIÓN Y COMUNICACIÓN</w:t>
      </w:r>
    </w:p>
    <w:p w:rsidR="00003F67" w:rsidRPr="00512A53" w:rsidRDefault="00003F67" w:rsidP="009F1A47">
      <w:pPr>
        <w:spacing w:after="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INFORME TÉCNICO DE LA NECESIDAD</w:t>
      </w:r>
    </w:p>
    <w:p w:rsidR="00003F67" w:rsidRPr="00512A53" w:rsidRDefault="00003F67" w:rsidP="00041E69">
      <w:pPr>
        <w:spacing w:after="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</w:p>
    <w:p w:rsidR="00003F67" w:rsidRPr="00512A53" w:rsidRDefault="00003F67" w:rsidP="00041E69">
      <w:pPr>
        <w:spacing w:after="15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"ADQUISICIÓN DE</w:t>
      </w:r>
      <w:r w:rsidR="00F279C2"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 xml:space="preserve"> CINTAS MAGNÉTICAS HP LTO-5 </w:t>
      </w:r>
      <w:proofErr w:type="spellStart"/>
      <w:r w:rsidR="00F279C2"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Ultrium</w:t>
      </w:r>
      <w:proofErr w:type="spellEnd"/>
      <w:r w:rsidR="00F279C2"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 xml:space="preserve"> RW C7975A PARA LA LIBRERÍA DE RESPALDO HP MSL2024 1 LTO-5 3000 FC</w:t>
      </w: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"</w:t>
      </w:r>
    </w:p>
    <w:p w:rsidR="00003F67" w:rsidRPr="00512A53" w:rsidRDefault="00003F67" w:rsidP="00C64FD1">
      <w:pPr>
        <w:tabs>
          <w:tab w:val="left" w:pos="1076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1.- ANTECEDENTES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Mediante resolución SGR-039-2014, de 3 de junio de 2014, se expide el ESTATUTO ORGÁNICO DE GESTIÓN ORGANIZACIONAL POR PROCESOS DE LA SECRETARÍA DE GESTIÓN DE RIESGOS, en donde establece que la Secretaria(o) </w:t>
      </w:r>
      <w:r w:rsidRPr="00512A53">
        <w:rPr>
          <w:rFonts w:asciiTheme="minorHAnsi" w:hAnsiTheme="minorHAnsi" w:cstheme="minorHAnsi"/>
          <w:i/>
          <w:sz w:val="24"/>
          <w:szCs w:val="24"/>
        </w:rPr>
        <w:t>declara los niveles de advertencia y alerta y comunica de inmediato a la población por los canales y medios tecnológicos de uso en el país</w:t>
      </w:r>
      <w:r w:rsidRPr="00512A53">
        <w:rPr>
          <w:rFonts w:asciiTheme="minorHAnsi" w:hAnsiTheme="minorHAnsi" w:cstheme="minorHAnsi"/>
          <w:sz w:val="24"/>
          <w:szCs w:val="24"/>
        </w:rPr>
        <w:t>.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Dentro del estatuto orgánico de Gestión Organizacional por Procesos de la Secretaría de Gestión de Riesgos, No. SGR-039-2014, entre las atribuciones y Responsabilidades del Área de Tecnologías de la Información y Comunicación, punto 5, está “Presidir estándares, metodologías, arquitecturas, tecnologías e infraestructura adecuadas a las necesidades de la institución, a tendencias tecnológicas, a buenas prácticas y disposiciones gubernamentales; y en el punto 9, “Dirigir el cambio y renovación continua de los aplicativos, sistemas y servicios informáticos, conforme las tendencias tecnológicas y buenas prácticas de la industria de las TIC”.</w:t>
      </w:r>
    </w:p>
    <w:p w:rsidR="00003F67" w:rsidRPr="00512A53" w:rsidRDefault="001D4F56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El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Ser</w:t>
      </w:r>
      <w:r w:rsidRPr="00512A53">
        <w:rPr>
          <w:rFonts w:asciiTheme="minorHAnsi" w:hAnsiTheme="minorHAnsi" w:cstheme="minorHAnsi"/>
          <w:sz w:val="24"/>
          <w:szCs w:val="24"/>
        </w:rPr>
        <w:t xml:space="preserve">vicio Nacional de </w:t>
      </w:r>
      <w:r w:rsidR="00003F67" w:rsidRPr="00512A53">
        <w:rPr>
          <w:rFonts w:asciiTheme="minorHAnsi" w:hAnsiTheme="minorHAnsi" w:cstheme="minorHAnsi"/>
          <w:sz w:val="24"/>
          <w:szCs w:val="24"/>
        </w:rPr>
        <w:t>Gestión de Riesgos</w:t>
      </w:r>
      <w:r w:rsidRPr="00512A53">
        <w:rPr>
          <w:rFonts w:asciiTheme="minorHAnsi" w:hAnsiTheme="minorHAnsi" w:cstheme="minorHAnsi"/>
          <w:sz w:val="24"/>
          <w:szCs w:val="24"/>
        </w:rPr>
        <w:t xml:space="preserve"> y Emergencias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, </w:t>
      </w:r>
      <w:r w:rsidRPr="00512A53">
        <w:rPr>
          <w:rFonts w:asciiTheme="minorHAnsi" w:hAnsiTheme="minorHAnsi" w:cstheme="minorHAnsi"/>
          <w:sz w:val="24"/>
          <w:szCs w:val="24"/>
        </w:rPr>
        <w:t xml:space="preserve">trabaja 24/7 generando información vital para la toma de decisiones, es por esto </w:t>
      </w:r>
      <w:r w:rsidR="00071D19" w:rsidRPr="00512A53">
        <w:rPr>
          <w:rFonts w:asciiTheme="minorHAnsi" w:hAnsiTheme="minorHAnsi" w:cstheme="minorHAnsi"/>
          <w:sz w:val="24"/>
          <w:szCs w:val="24"/>
        </w:rPr>
        <w:t>que con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 el</w:t>
      </w:r>
      <w:r w:rsidRPr="00512A53">
        <w:rPr>
          <w:rFonts w:asciiTheme="minorHAnsi" w:hAnsiTheme="minorHAnsi" w:cstheme="minorHAnsi"/>
          <w:sz w:val="24"/>
          <w:szCs w:val="24"/>
        </w:rPr>
        <w:t xml:space="preserve"> fin de </w:t>
      </w:r>
      <w:r w:rsidR="00071D19" w:rsidRPr="00512A53">
        <w:rPr>
          <w:rFonts w:asciiTheme="minorHAnsi" w:hAnsiTheme="minorHAnsi" w:cstheme="minorHAnsi"/>
          <w:sz w:val="24"/>
          <w:szCs w:val="24"/>
        </w:rPr>
        <w:t>salvaguardar la</w:t>
      </w:r>
      <w:r w:rsidRPr="00512A53">
        <w:rPr>
          <w:rFonts w:asciiTheme="minorHAnsi" w:hAnsiTheme="minorHAnsi" w:cstheme="minorHAnsi"/>
          <w:sz w:val="24"/>
          <w:szCs w:val="24"/>
        </w:rPr>
        <w:t xml:space="preserve"> información generada por cada funcionario 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se ve la 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necesidad de adquirir </w:t>
      </w:r>
      <w:r w:rsidRPr="00512A53">
        <w:rPr>
          <w:rFonts w:asciiTheme="minorHAnsi" w:hAnsiTheme="minorHAnsi" w:cstheme="minorHAnsi"/>
          <w:sz w:val="24"/>
          <w:szCs w:val="24"/>
        </w:rPr>
        <w:t>cintas magnéticas de respaldo para la librería existente en el Datacenter del SNGRE.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2.- JUSTIFICACIÓN</w:t>
      </w:r>
    </w:p>
    <w:p w:rsidR="00003F67" w:rsidRPr="00512A53" w:rsidRDefault="00071D19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Servicio Nacional de Gestión de Riesgos y Emergencias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tiene la responsabilidad de informar a la ciudadanía de manera oportuna, para esto, es preciso que su</w:t>
      </w:r>
      <w:r w:rsidR="00B44084" w:rsidRPr="00512A53">
        <w:rPr>
          <w:rFonts w:asciiTheme="minorHAnsi" w:hAnsiTheme="minorHAnsi" w:cstheme="minorHAnsi"/>
          <w:sz w:val="24"/>
          <w:szCs w:val="24"/>
        </w:rPr>
        <w:t xml:space="preserve"> máxima autoridad disponga de manera inmediata la información que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facilite la </w:t>
      </w:r>
      <w:r w:rsidR="00B44084" w:rsidRPr="00512A53">
        <w:rPr>
          <w:rFonts w:asciiTheme="minorHAnsi" w:hAnsiTheme="minorHAnsi" w:cstheme="minorHAnsi"/>
          <w:sz w:val="24"/>
          <w:szCs w:val="24"/>
        </w:rPr>
        <w:t>mejor toma de decisiones con información histórica y actual</w:t>
      </w:r>
      <w:r w:rsidR="00003F67" w:rsidRPr="00512A53">
        <w:rPr>
          <w:rFonts w:asciiTheme="minorHAnsi" w:hAnsiTheme="minorHAnsi" w:cstheme="minorHAnsi"/>
          <w:sz w:val="24"/>
          <w:szCs w:val="24"/>
        </w:rPr>
        <w:t>. Habría que decir también, que los medios tecnológicos disponibles deben garantizar la seguridad de la información que es de carácter confidencial, a fin de evitar filtraciones o intrusiones de terceros.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477D9" w:rsidRPr="00071D19" w:rsidRDefault="001477D9" w:rsidP="00C64FD1">
      <w:pPr>
        <w:pStyle w:val="Sinespaciado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sz w:val="24"/>
          <w:szCs w:val="24"/>
        </w:rPr>
        <w:t xml:space="preserve">El equipamiento informático en el </w:t>
      </w:r>
      <w:r w:rsidR="00071D19" w:rsidRPr="00071D19">
        <w:rPr>
          <w:rFonts w:asciiTheme="minorHAnsi" w:hAnsiTheme="minorHAnsi" w:cstheme="minorHAnsi"/>
          <w:sz w:val="24"/>
          <w:szCs w:val="24"/>
        </w:rPr>
        <w:t>Datacenter</w:t>
      </w:r>
      <w:r w:rsidRPr="00071D19">
        <w:rPr>
          <w:rFonts w:asciiTheme="minorHAnsi" w:hAnsiTheme="minorHAnsi" w:cstheme="minorHAnsi"/>
          <w:sz w:val="24"/>
          <w:szCs w:val="24"/>
        </w:rPr>
        <w:t xml:space="preserve"> fue instalado en el año 2013, con el traspaso del SNGRE a esta edificación, en el año 2019 se realizó el mantenimiento correctivo y preventivo de todos los equipos antes mencionados.</w:t>
      </w:r>
      <w:r w:rsidR="00C64FD1">
        <w:rPr>
          <w:rFonts w:asciiTheme="minorHAnsi" w:hAnsiTheme="minorHAnsi" w:cstheme="minorHAnsi"/>
          <w:sz w:val="24"/>
          <w:szCs w:val="24"/>
        </w:rPr>
        <w:t xml:space="preserve"> Dentro del Datacenter disponemos de una librería de respaldo de marca HP modelo MSL20204, pero no se </w:t>
      </w:r>
      <w:r w:rsidRPr="00071D19">
        <w:rPr>
          <w:rFonts w:asciiTheme="minorHAnsi" w:hAnsiTheme="minorHAnsi" w:cstheme="minorHAnsi"/>
          <w:sz w:val="24"/>
          <w:szCs w:val="24"/>
        </w:rPr>
        <w:t xml:space="preserve">cuenta con </w:t>
      </w:r>
      <w:r w:rsidR="00C64FD1">
        <w:rPr>
          <w:rFonts w:asciiTheme="minorHAnsi" w:hAnsiTheme="minorHAnsi" w:cstheme="minorHAnsi"/>
          <w:sz w:val="24"/>
          <w:szCs w:val="24"/>
        </w:rPr>
        <w:t>las respe</w:t>
      </w:r>
      <w:r w:rsidR="00041E69">
        <w:rPr>
          <w:rFonts w:asciiTheme="minorHAnsi" w:hAnsiTheme="minorHAnsi" w:cstheme="minorHAnsi"/>
          <w:sz w:val="24"/>
          <w:szCs w:val="24"/>
        </w:rPr>
        <w:t>c</w:t>
      </w:r>
      <w:r w:rsidR="00C64FD1">
        <w:rPr>
          <w:rFonts w:asciiTheme="minorHAnsi" w:hAnsiTheme="minorHAnsi" w:cstheme="minorHAnsi"/>
          <w:sz w:val="24"/>
          <w:szCs w:val="24"/>
        </w:rPr>
        <w:t xml:space="preserve">tivas </w:t>
      </w:r>
      <w:r w:rsidRPr="00071D19">
        <w:rPr>
          <w:rFonts w:asciiTheme="minorHAnsi" w:hAnsiTheme="minorHAnsi" w:cstheme="minorHAnsi"/>
          <w:sz w:val="24"/>
          <w:szCs w:val="24"/>
        </w:rPr>
        <w:t>de cintas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 </w:t>
      </w:r>
      <w:r w:rsidR="00C64FD1">
        <w:rPr>
          <w:rFonts w:asciiTheme="minorHAnsi" w:hAnsiTheme="minorHAnsi" w:cstheme="minorHAnsi"/>
          <w:sz w:val="24"/>
          <w:szCs w:val="24"/>
        </w:rPr>
        <w:t>para realizar los respaldos y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a que </w:t>
      </w:r>
      <w:r w:rsidRPr="00071D19">
        <w:rPr>
          <w:rFonts w:asciiTheme="minorHAnsi" w:hAnsiTheme="minorHAnsi" w:cstheme="minorHAnsi"/>
          <w:sz w:val="24"/>
          <w:szCs w:val="24"/>
        </w:rPr>
        <w:t>se ha venido reutilizando las cintas que fueron adquiridas en el año 2012 para seguir con el proceso de respaldos a nivel institucional y de los servidores.</w:t>
      </w:r>
    </w:p>
    <w:p w:rsidR="001477D9" w:rsidRPr="00071D19" w:rsidRDefault="001477D9" w:rsidP="00C64FD1">
      <w:pPr>
        <w:pStyle w:val="Sinespaciado"/>
        <w:jc w:val="both"/>
        <w:rPr>
          <w:rFonts w:cs="Arial"/>
        </w:rPr>
      </w:pPr>
    </w:p>
    <w:p w:rsidR="00003F67" w:rsidRPr="00071D19" w:rsidRDefault="00071D1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sz w:val="24"/>
          <w:szCs w:val="24"/>
        </w:rPr>
        <w:t xml:space="preserve">De acuerdo </w:t>
      </w:r>
      <w:r w:rsidR="003A34A4">
        <w:rPr>
          <w:rFonts w:asciiTheme="minorHAnsi" w:hAnsiTheme="minorHAnsi" w:cstheme="minorHAnsi"/>
          <w:sz w:val="24"/>
          <w:szCs w:val="24"/>
        </w:rPr>
        <w:t xml:space="preserve">a las Normas de Control Interno de la </w:t>
      </w:r>
      <w:r w:rsidR="00506DE5">
        <w:rPr>
          <w:rFonts w:asciiTheme="minorHAnsi" w:hAnsiTheme="minorHAnsi" w:cstheme="minorHAnsi"/>
          <w:sz w:val="24"/>
          <w:szCs w:val="24"/>
        </w:rPr>
        <w:t>Contraloría</w:t>
      </w:r>
      <w:r w:rsidR="003A34A4">
        <w:rPr>
          <w:rFonts w:asciiTheme="minorHAnsi" w:hAnsiTheme="minorHAnsi" w:cstheme="minorHAnsi"/>
          <w:sz w:val="24"/>
          <w:szCs w:val="24"/>
        </w:rPr>
        <w:t xml:space="preserve"> General del Estado, en e</w:t>
      </w:r>
      <w:r w:rsidRPr="00071D19">
        <w:rPr>
          <w:rFonts w:asciiTheme="minorHAnsi" w:hAnsiTheme="minorHAnsi" w:cstheme="minorHAnsi"/>
          <w:sz w:val="24"/>
          <w:szCs w:val="24"/>
        </w:rPr>
        <w:t xml:space="preserve">l punto </w:t>
      </w:r>
      <w:r w:rsidR="007624C9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410-10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de la </w:t>
      </w:r>
      <w:r w:rsidR="007624C9" w:rsidRPr="00071D19">
        <w:rPr>
          <w:rFonts w:asciiTheme="minorHAnsi" w:hAnsiTheme="minorHAnsi" w:cstheme="minorHAnsi"/>
          <w:b/>
          <w:i/>
          <w:sz w:val="24"/>
          <w:szCs w:val="24"/>
        </w:rPr>
        <w:t>Seguridad de tecnología de información</w:t>
      </w:r>
      <w:r w:rsidRPr="00071D19">
        <w:rPr>
          <w:rFonts w:asciiTheme="minorHAnsi" w:hAnsiTheme="minorHAnsi" w:cstheme="minorHAnsi"/>
          <w:sz w:val="24"/>
          <w:szCs w:val="24"/>
        </w:rPr>
        <w:t>, tenemos:</w:t>
      </w:r>
    </w:p>
    <w:p w:rsidR="007624C9" w:rsidRPr="00071D19" w:rsidRDefault="007624C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2. Definición de procedimientos de obtención periódica de respaldos en función a un cronograma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71D19" w:rsidRPr="00071D19">
        <w:rPr>
          <w:rFonts w:asciiTheme="minorHAnsi" w:hAnsiTheme="minorHAnsi" w:cstheme="minorHAnsi"/>
          <w:b/>
          <w:i/>
          <w:sz w:val="24"/>
          <w:szCs w:val="24"/>
        </w:rPr>
        <w:t>definido y aprobado,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 para ello se debe disponer de las cintas en las cuales se programará los respaldos periódicos</w:t>
      </w:r>
      <w:r w:rsidR="00E7527E">
        <w:rPr>
          <w:rFonts w:asciiTheme="minorHAnsi" w:hAnsiTheme="minorHAnsi" w:cstheme="minorHAnsi"/>
          <w:sz w:val="24"/>
          <w:szCs w:val="24"/>
        </w:rPr>
        <w:t>.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3.</w:t>
      </w:r>
      <w:r w:rsidRPr="00071D19">
        <w:rPr>
          <w:rFonts w:asciiTheme="minorHAnsi" w:hAnsiTheme="minorHAnsi" w:cstheme="minorHAnsi"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En los casos de actualización de tecnologías de soporte se migrará la información a los medios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físicos adecuados y con estándares abiertos para garantizar la perpetuidad de los datos y su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recuperación.</w:t>
      </w: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4. Almacenamiento de respaldos con información crítica y/o sensible en lugares externos a la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organización.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071D19" w:rsidRPr="00071D19" w:rsidRDefault="00071D19" w:rsidP="00C64FD1">
      <w:pPr>
        <w:spacing w:after="0" w:line="240" w:lineRule="auto"/>
        <w:ind w:right="44"/>
        <w:jc w:val="both"/>
        <w:rPr>
          <w:rFonts w:cs="Arial"/>
        </w:rPr>
      </w:pPr>
    </w:p>
    <w:p w:rsidR="00071D19" w:rsidRPr="00512A53" w:rsidRDefault="00071D19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Con estos antecedentes, </w:t>
      </w:r>
      <w:r>
        <w:rPr>
          <w:rFonts w:asciiTheme="minorHAnsi" w:hAnsiTheme="minorHAnsi" w:cstheme="minorHAnsi"/>
          <w:sz w:val="24"/>
          <w:szCs w:val="24"/>
        </w:rPr>
        <w:t xml:space="preserve">podemos afirmar que </w:t>
      </w:r>
      <w:r w:rsidRPr="00512A53">
        <w:rPr>
          <w:rFonts w:asciiTheme="minorHAnsi" w:hAnsiTheme="minorHAnsi" w:cstheme="minorHAnsi"/>
          <w:sz w:val="24"/>
          <w:szCs w:val="24"/>
        </w:rPr>
        <w:t xml:space="preserve">es de gran importancia que la información sea salvaguardada de manera óptima y segura en la librería de respaldo que se encuentra en el Datacenter, para ello se debe adquirir cintas magnéticas que permita el almacenamiento de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512A53">
        <w:rPr>
          <w:rFonts w:asciiTheme="minorHAnsi" w:hAnsiTheme="minorHAnsi" w:cstheme="minorHAnsi"/>
          <w:sz w:val="24"/>
          <w:szCs w:val="24"/>
        </w:rPr>
        <w:t>a información generada por todos los funcionarios del SNGRE.</w:t>
      </w:r>
    </w:p>
    <w:p w:rsidR="007624C9" w:rsidRPr="00512A53" w:rsidRDefault="007624C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3.- OBJETO DE LA CONTRATACIÓN: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El objeto de la presente contratación es la </w:t>
      </w:r>
      <w:r w:rsidRPr="00512A53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="00F279C2" w:rsidRPr="00512A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ADQUISICIÓN DE CINTAS MAGNÉTICAS HP LTO-5 </w:t>
      </w:r>
      <w:proofErr w:type="spellStart"/>
      <w:r w:rsidR="00F279C2" w:rsidRPr="00512A53">
        <w:rPr>
          <w:rFonts w:asciiTheme="minorHAnsi" w:hAnsiTheme="minorHAnsi" w:cstheme="minorHAnsi"/>
          <w:b/>
          <w:color w:val="000000"/>
          <w:sz w:val="24"/>
          <w:szCs w:val="24"/>
        </w:rPr>
        <w:t>Ultrium</w:t>
      </w:r>
      <w:proofErr w:type="spellEnd"/>
      <w:r w:rsidR="00F279C2" w:rsidRPr="00512A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RW C7975A PARA LA LIBRERÍA DE RESPA</w:t>
      </w:r>
      <w:r w:rsidR="001D4F56" w:rsidRPr="00512A53">
        <w:rPr>
          <w:rFonts w:asciiTheme="minorHAnsi" w:hAnsiTheme="minorHAnsi" w:cstheme="minorHAnsi"/>
          <w:b/>
          <w:color w:val="000000"/>
          <w:sz w:val="24"/>
          <w:szCs w:val="24"/>
        </w:rPr>
        <w:t>LDO HP MSL2024 1 LTO-5 3000 FC</w:t>
      </w:r>
      <w:r w:rsidRPr="00512A53">
        <w:rPr>
          <w:rFonts w:asciiTheme="minorHAnsi" w:hAnsiTheme="minorHAnsi" w:cstheme="minorHAnsi"/>
          <w:b/>
          <w:color w:val="000000"/>
          <w:sz w:val="24"/>
          <w:szCs w:val="24"/>
        </w:rPr>
        <w:t>”.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4.- ALCANCE: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El propósito de realizar la adquisición de </w:t>
      </w:r>
      <w:r w:rsidR="00B44084"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cintas magnéticas</w:t>
      </w: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es </w:t>
      </w:r>
      <w:r w:rsidR="00B44084"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salvaguardar la información generada por todos los funcionarios del SNGRE a fin que se disponga en cualquier momento de la información tanto histórica como actual para la mejor toma de decisiones de las máximas autoridades</w:t>
      </w: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9F1A47" w:rsidRDefault="009F1A47" w:rsidP="00C64FD1">
      <w:pPr>
        <w:pStyle w:val="Standard"/>
        <w:spacing w:before="100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</w:p>
    <w:p w:rsidR="00003F67" w:rsidRPr="00512A53" w:rsidRDefault="00003F67" w:rsidP="00C64FD1">
      <w:pPr>
        <w:pStyle w:val="Standard"/>
        <w:spacing w:before="100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5.- METODOLOGIA:</w:t>
      </w:r>
    </w:p>
    <w:p w:rsidR="00B44084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Reali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zar la entrega de las cintas en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la oficina matriz</w:t>
      </w:r>
      <w:r w:rsidR="00AE034C"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del SNGRE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, para ello se coordinará con el administrador de la orden para 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la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re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visión de lo adquirido.</w:t>
      </w:r>
    </w:p>
    <w:p w:rsidR="00B44084" w:rsidRPr="00512A53" w:rsidRDefault="00B44084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6.- </w:t>
      </w:r>
      <w:r w:rsidRPr="00512A53">
        <w:rPr>
          <w:rFonts w:asciiTheme="minorHAnsi" w:hAnsiTheme="minorHAnsi" w:cstheme="minorHAnsi"/>
          <w:b/>
          <w:i/>
          <w:color w:val="2F5496"/>
          <w:sz w:val="24"/>
          <w:szCs w:val="24"/>
          <w:lang w:val="es-ES_tradnl"/>
        </w:rPr>
        <w:t>PRODUCTOS O SERVICIOS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 ESPERADOS: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L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as cintas magnéticas de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ben cumplir con todo lo estipulado en las especificaciones técnicas.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512A53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>Cantidad de cintas:</w:t>
      </w:r>
      <w:r w:rsidRPr="00512A53">
        <w:rPr>
          <w:rFonts w:asciiTheme="minorHAnsi" w:hAnsiTheme="minorHAnsi" w:cstheme="minorHAnsi"/>
          <w:sz w:val="24"/>
          <w:szCs w:val="24"/>
        </w:rPr>
        <w:t xml:space="preserve"> </w:t>
      </w:r>
      <w:r w:rsidR="00415A43">
        <w:rPr>
          <w:rFonts w:asciiTheme="minorHAnsi" w:hAnsiTheme="minorHAnsi" w:cstheme="minorHAnsi"/>
          <w:sz w:val="24"/>
          <w:szCs w:val="24"/>
        </w:rPr>
        <w:t>100</w:t>
      </w:r>
      <w:r w:rsidRPr="00512A53">
        <w:rPr>
          <w:rFonts w:asciiTheme="minorHAnsi" w:hAnsiTheme="minorHAnsi" w:cstheme="minorHAnsi"/>
          <w:sz w:val="24"/>
          <w:szCs w:val="24"/>
        </w:rPr>
        <w:t xml:space="preserve"> cartuchos</w:t>
      </w:r>
      <w:r w:rsidR="00275BC8">
        <w:rPr>
          <w:rFonts w:asciiTheme="minorHAnsi" w:hAnsiTheme="minorHAnsi" w:cstheme="minorHAnsi"/>
          <w:sz w:val="24"/>
          <w:szCs w:val="24"/>
        </w:rPr>
        <w:t xml:space="preserve"> nuevos originales</w:t>
      </w:r>
      <w:r w:rsidRPr="00512A53">
        <w:rPr>
          <w:rFonts w:asciiTheme="minorHAnsi" w:hAnsiTheme="minorHAnsi" w:cstheme="minorHAnsi"/>
          <w:sz w:val="24"/>
          <w:szCs w:val="24"/>
        </w:rPr>
        <w:t>.</w:t>
      </w:r>
    </w:p>
    <w:p w:rsidR="00512A53" w:rsidRPr="00512A53" w:rsidRDefault="00512A53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>Detalle: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280"/>
      </w:tblGrid>
      <w:tr w:rsidR="00512A53" w:rsidRPr="00512A53" w:rsidTr="00512A53">
        <w:trPr>
          <w:trHeight w:val="33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E78"/>
            <w:noWrap/>
            <w:vAlign w:val="center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  <w:t>CARACTERÍSTICAS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  <w:t>REQUERIDO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N. º SKU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C7975A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Capacidad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3 TB Con compresión 2:1 admitido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Densidad de bits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 xml:space="preserve">343 </w:t>
            </w:r>
            <w:proofErr w:type="spellStart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kbits</w:t>
            </w:r>
            <w:proofErr w:type="spellEnd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/pulgada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Pistas de datos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1280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Velocidad de lectura del soporte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280 MB/</w:t>
            </w:r>
            <w:proofErr w:type="spellStart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seg</w:t>
            </w:r>
            <w:proofErr w:type="spellEnd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.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Longitud de la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846 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Grosor de la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6,4 µm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lastRenderedPageBreak/>
              <w:t>Ancho de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12,65 mm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Tecnología de grabación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 xml:space="preserve">LTO-5 </w:t>
            </w:r>
            <w:proofErr w:type="spellStart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Ultrium</w:t>
            </w:r>
            <w:proofErr w:type="spellEnd"/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Formato del soporte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Regrabable</w:t>
            </w:r>
          </w:p>
        </w:tc>
      </w:tr>
      <w:tr w:rsidR="00512A53" w:rsidRPr="00512A53" w:rsidTr="00512A53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Descripción detallada del producto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 xml:space="preserve">Cartucho de datos regrabable LTO-5 </w:t>
            </w:r>
            <w:proofErr w:type="spellStart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Ultrium</w:t>
            </w:r>
            <w:proofErr w:type="spellEnd"/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 xml:space="preserve"> de 3 TB</w:t>
            </w:r>
          </w:p>
        </w:tc>
      </w:tr>
    </w:tbl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7.- PLAZO: </w:t>
      </w:r>
    </w:p>
    <w:p w:rsidR="00003F67" w:rsidRPr="00512A53" w:rsidRDefault="00003F67" w:rsidP="00C64FD1">
      <w:pPr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hAnsiTheme="minorHAnsi" w:cstheme="minorHAnsi"/>
          <w:sz w:val="24"/>
          <w:szCs w:val="24"/>
        </w:rPr>
        <w:t>El plazo para la ejecución de la orden será de 15 días</w:t>
      </w:r>
      <w:r w:rsidR="00C64FD1">
        <w:rPr>
          <w:rFonts w:asciiTheme="minorHAnsi" w:hAnsiTheme="minorHAnsi" w:cstheme="minorHAnsi"/>
          <w:sz w:val="24"/>
          <w:szCs w:val="24"/>
        </w:rPr>
        <w:t xml:space="preserve"> laborables</w:t>
      </w:r>
      <w:r w:rsidRPr="00512A53">
        <w:rPr>
          <w:rFonts w:asciiTheme="minorHAnsi" w:hAnsiTheme="minorHAnsi" w:cstheme="minorHAnsi"/>
          <w:sz w:val="24"/>
          <w:szCs w:val="24"/>
        </w:rPr>
        <w:t xml:space="preserve">, 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contados desde la emisión del mismo.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8.- PRESUPUESTO REFERENCIAL: </w:t>
      </w:r>
    </w:p>
    <w:p w:rsidR="00B44084" w:rsidRPr="00512A53" w:rsidRDefault="00B44084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El presupuesto se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rá </w:t>
      </w:r>
      <w:r w:rsidRPr="00512A53">
        <w:rPr>
          <w:rFonts w:asciiTheme="minorHAnsi" w:hAnsiTheme="minorHAnsi" w:cstheme="minorHAnsi"/>
          <w:sz w:val="24"/>
          <w:szCs w:val="24"/>
        </w:rPr>
        <w:t>defini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do por </w:t>
      </w:r>
      <w:r w:rsidRPr="00512A53">
        <w:rPr>
          <w:rFonts w:asciiTheme="minorHAnsi" w:hAnsiTheme="minorHAnsi" w:cstheme="minorHAnsi"/>
          <w:sz w:val="24"/>
          <w:szCs w:val="24"/>
        </w:rPr>
        <w:t>el estudio de mercado.</w:t>
      </w:r>
    </w:p>
    <w:p w:rsidR="001D4F56" w:rsidRPr="00512A53" w:rsidRDefault="001D4F56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1D4F56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9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GARANTÍAS:</w:t>
      </w:r>
    </w:p>
    <w:p w:rsidR="00AE034C" w:rsidRDefault="00AE034C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Garantía técnica de las cintas por 12 meses a partir de la entrega de los mismos.</w:t>
      </w:r>
    </w:p>
    <w:p w:rsidR="00C64FD1" w:rsidRDefault="00C64FD1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</w:p>
    <w:p w:rsidR="00C64FD1" w:rsidRPr="00512A53" w:rsidRDefault="00C64FD1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10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.- </w:t>
      </w:r>
      <w:r>
        <w:rPr>
          <w:rFonts w:asciiTheme="minorHAnsi" w:hAnsiTheme="minorHAnsi" w:cstheme="minorHAnsi"/>
          <w:b/>
          <w:color w:val="2F5496"/>
          <w:sz w:val="24"/>
          <w:szCs w:val="24"/>
        </w:rPr>
        <w:t>CÓDIGO CPC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: </w:t>
      </w:r>
    </w:p>
    <w:p w:rsidR="00C64FD1" w:rsidRPr="00512A53" w:rsidRDefault="00C64FD1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código CPC para este proceso es el</w:t>
      </w:r>
      <w:r w:rsidRPr="00512A5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12A53">
        <w:rPr>
          <w:rFonts w:asciiTheme="minorHAnsi" w:hAnsiTheme="minorHAnsi" w:cstheme="minorHAnsi"/>
          <w:sz w:val="24"/>
          <w:szCs w:val="24"/>
        </w:rPr>
        <w:t xml:space="preserve"> </w:t>
      </w:r>
      <w:r w:rsidR="00D07587">
        <w:rPr>
          <w:rStyle w:val="textoazul"/>
        </w:rPr>
        <w:t>45250002</w:t>
      </w:r>
    </w:p>
    <w:p w:rsidR="00C64FD1" w:rsidRPr="00512A53" w:rsidRDefault="00C64FD1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.- FORMAS Y CONDICIONES DE PAGO: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Las condiciones bajo las cuales se </w:t>
      </w:r>
      <w:r w:rsidR="00485E5C" w:rsidRPr="00512A53">
        <w:rPr>
          <w:rFonts w:asciiTheme="minorHAnsi" w:hAnsiTheme="minorHAnsi" w:cstheme="minorHAnsi"/>
          <w:sz w:val="24"/>
          <w:szCs w:val="24"/>
        </w:rPr>
        <w:t>efectuará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el pago, son las siguientes: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i/>
          <w:color w:val="1F497D"/>
          <w:sz w:val="24"/>
          <w:szCs w:val="24"/>
        </w:rPr>
      </w:pPr>
    </w:p>
    <w:p w:rsidR="00003F67" w:rsidRPr="00512A53" w:rsidRDefault="00C64FD1" w:rsidP="00C64FD1">
      <w:pPr>
        <w:spacing w:after="0"/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</w:rPr>
        <w:t>11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.1.-FORMA DE PAGO: </w:t>
      </w:r>
    </w:p>
    <w:p w:rsidR="00003F67" w:rsidRPr="00512A53" w:rsidRDefault="00003F67" w:rsidP="00C64FD1">
      <w:pPr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Se </w:t>
      </w:r>
      <w:r w:rsidR="00B44084" w:rsidRPr="00512A53">
        <w:rPr>
          <w:rFonts w:asciiTheme="minorHAnsi" w:hAnsiTheme="minorHAnsi" w:cstheme="minorHAnsi"/>
          <w:sz w:val="24"/>
          <w:szCs w:val="24"/>
        </w:rPr>
        <w:t>cancelará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100% contra entrega a entera satisfacción del Ser</w:t>
      </w:r>
      <w:r w:rsidR="00485E5C" w:rsidRPr="00512A53">
        <w:rPr>
          <w:rFonts w:asciiTheme="minorHAnsi" w:hAnsiTheme="minorHAnsi" w:cstheme="minorHAnsi"/>
          <w:sz w:val="24"/>
          <w:szCs w:val="24"/>
        </w:rPr>
        <w:t xml:space="preserve">vicio Nacional de </w:t>
      </w:r>
      <w:r w:rsidRPr="00512A53">
        <w:rPr>
          <w:rFonts w:asciiTheme="minorHAnsi" w:hAnsiTheme="minorHAnsi" w:cstheme="minorHAnsi"/>
          <w:sz w:val="24"/>
          <w:szCs w:val="24"/>
        </w:rPr>
        <w:t>Gestión de Riesgos</w:t>
      </w:r>
      <w:r w:rsidR="00485E5C" w:rsidRPr="00512A53">
        <w:rPr>
          <w:rFonts w:asciiTheme="minorHAnsi" w:hAnsiTheme="minorHAnsi" w:cstheme="minorHAnsi"/>
          <w:sz w:val="24"/>
          <w:szCs w:val="24"/>
        </w:rPr>
        <w:t xml:space="preserve"> y Emergencias</w:t>
      </w:r>
      <w:r w:rsidRPr="00512A5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03F67" w:rsidRPr="00512A53" w:rsidRDefault="00003F67" w:rsidP="00C64FD1">
      <w:pPr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003F67" w:rsidRPr="00512A53" w:rsidRDefault="00C64FD1" w:rsidP="00C64FD1">
      <w:pPr>
        <w:spacing w:after="0"/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11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.2.- CONDICIONES DE PAGO: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El pago se realizará previa la </w:t>
      </w:r>
      <w:r w:rsidRPr="00512A53">
        <w:rPr>
          <w:rFonts w:asciiTheme="minorHAnsi" w:hAnsiTheme="minorHAnsi" w:cstheme="minorHAnsi"/>
          <w:bCs/>
          <w:sz w:val="24"/>
          <w:szCs w:val="24"/>
        </w:rPr>
        <w:t>presentación de la siguiente documentación:</w:t>
      </w:r>
    </w:p>
    <w:p w:rsidR="00003F67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Factura</w:t>
      </w:r>
    </w:p>
    <w:p w:rsidR="00003F67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Acta de Entrega Recepción Definitiva</w:t>
      </w:r>
    </w:p>
    <w:p w:rsidR="00485E5C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Informe del Administrador de orden</w:t>
      </w:r>
      <w:r w:rsidR="00485E5C" w:rsidRPr="00512A53">
        <w:rPr>
          <w:rFonts w:asciiTheme="minorHAnsi" w:hAnsiTheme="minorHAnsi" w:cstheme="minorHAnsi"/>
          <w:bCs/>
          <w:sz w:val="24"/>
          <w:szCs w:val="24"/>
        </w:rPr>
        <w:t>.</w:t>
      </w:r>
    </w:p>
    <w:p w:rsidR="00003F67" w:rsidRPr="00512A53" w:rsidRDefault="00485E5C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Presentación de la garantía técnica de las cintas</w:t>
      </w:r>
      <w:r w:rsidR="00003F67" w:rsidRPr="00512A5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C64FD1" w:rsidRDefault="00003F67" w:rsidP="00C64FD1">
      <w:pPr>
        <w:pStyle w:val="Prrafodelista"/>
        <w:ind w:left="0"/>
        <w:jc w:val="both"/>
        <w:rPr>
          <w:rFonts w:asciiTheme="minorHAnsi" w:eastAsia="SimSun" w:hAnsiTheme="minorHAnsi" w:cstheme="minorHAnsi"/>
          <w:i/>
          <w:color w:val="1F497D"/>
          <w:sz w:val="24"/>
          <w:szCs w:val="24"/>
          <w:lang w:eastAsia="zh-CN" w:bidi="hi-IN"/>
        </w:rPr>
      </w:pPr>
      <w:r w:rsidRPr="00512A53">
        <w:rPr>
          <w:rFonts w:asciiTheme="minorHAnsi" w:eastAsia="SimSun" w:hAnsiTheme="minorHAnsi" w:cstheme="minorHAnsi"/>
          <w:i/>
          <w:color w:val="1F497D"/>
          <w:sz w:val="24"/>
          <w:szCs w:val="24"/>
          <w:lang w:eastAsia="zh-CN" w:bidi="hi-IN"/>
        </w:rPr>
        <w:t xml:space="preserve">    </w:t>
      </w:r>
    </w:p>
    <w:p w:rsidR="00003F67" w:rsidRPr="00512A53" w:rsidRDefault="00C64FD1" w:rsidP="00C64FD1">
      <w:pPr>
        <w:pStyle w:val="Prrafodelista"/>
        <w:ind w:left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"/>
        </w:rPr>
        <w:t>12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.- LOCALIDAD DONDE SE EJECUTARÁ LA CONTRATACIÓN: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PROVINCIA: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GUAYAS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>CANTON: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SAMBORONDÓN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:rsidR="00512A53" w:rsidRDefault="00003F67" w:rsidP="00C64FD1">
      <w:pPr>
        <w:pStyle w:val="Prrafodelista"/>
        <w:ind w:left="0"/>
        <w:jc w:val="both"/>
        <w:rPr>
          <w:rFonts w:asciiTheme="minorHAnsi" w:hAnsiTheme="minorHAnsi" w:cstheme="minorHAnsi"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</w:rPr>
        <w:t>3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LUGAR DE ENTREGA</w:t>
      </w:r>
      <w:r w:rsidRPr="00512A53">
        <w:rPr>
          <w:rFonts w:asciiTheme="minorHAnsi" w:hAnsiTheme="minorHAnsi" w:cstheme="minorHAnsi"/>
          <w:color w:val="2F5496"/>
          <w:sz w:val="24"/>
          <w:szCs w:val="24"/>
        </w:rPr>
        <w:t>:</w:t>
      </w:r>
    </w:p>
    <w:p w:rsidR="00003F67" w:rsidRPr="00512A53" w:rsidRDefault="00003F67" w:rsidP="00C64FD1">
      <w:pPr>
        <w:pStyle w:val="Prrafode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La entrega se realizará en la oficina matriz de</w:t>
      </w:r>
      <w:r w:rsidR="00AE034C" w:rsidRPr="00512A53">
        <w:rPr>
          <w:rFonts w:asciiTheme="minorHAnsi" w:hAnsiTheme="minorHAnsi" w:cstheme="minorHAnsi"/>
          <w:sz w:val="24"/>
          <w:szCs w:val="24"/>
        </w:rPr>
        <w:t>l</w:t>
      </w:r>
      <w:r w:rsidRPr="00512A53">
        <w:rPr>
          <w:rFonts w:asciiTheme="minorHAnsi" w:hAnsiTheme="minorHAnsi" w:cstheme="minorHAnsi"/>
          <w:sz w:val="24"/>
          <w:szCs w:val="24"/>
        </w:rPr>
        <w:t xml:space="preserve"> Ser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vicio Nacional </w:t>
      </w:r>
      <w:r w:rsidRPr="00512A53">
        <w:rPr>
          <w:rFonts w:asciiTheme="minorHAnsi" w:hAnsiTheme="minorHAnsi" w:cstheme="minorHAnsi"/>
          <w:sz w:val="24"/>
          <w:szCs w:val="24"/>
        </w:rPr>
        <w:t xml:space="preserve">de Gestión de 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Riesgos y Emergencias </w:t>
      </w:r>
      <w:r w:rsidRPr="00512A53">
        <w:rPr>
          <w:rFonts w:asciiTheme="minorHAnsi" w:hAnsiTheme="minorHAnsi" w:cstheme="minorHAnsi"/>
          <w:sz w:val="24"/>
          <w:szCs w:val="24"/>
        </w:rPr>
        <w:t>localizada en el Edificio Centro Integrado de Seguridad, Km 0.5 vía Puntilla-Samborondón, cantón Samborondón, provincia Guayas.</w:t>
      </w:r>
    </w:p>
    <w:p w:rsidR="00003F67" w:rsidRPr="00512A53" w:rsidRDefault="00C64FD1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14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.- OBLIGACIONES DE LAS PARTES: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lastRenderedPageBreak/>
        <w:t xml:space="preserve">Lo que se obligan a dar cumplimiento.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4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.1.- OBLIGACIONES </w:t>
      </w:r>
      <w:r w:rsidR="00AE034C"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DEL PROVEEDOR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Acorde con la naturaleza de la contratación, la entidad contratante podrá establecer condiciones adicionales que consideren pertinente, siempre y cuando estas observen la normativa vigente y no constituyan disposiciones que resulten discriminatorias entre los participantes. </w:t>
      </w:r>
    </w:p>
    <w:p w:rsidR="00003F67" w:rsidRPr="00512A53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Cumplir cabalmente con las obligaciones detalladas en el presente documento;</w:t>
      </w:r>
    </w:p>
    <w:p w:rsidR="00003F67" w:rsidRPr="00C64FD1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sz w:val="24"/>
          <w:szCs w:val="24"/>
        </w:rPr>
      </w:pPr>
      <w:r w:rsidRPr="00C64FD1">
        <w:rPr>
          <w:rFonts w:asciiTheme="minorHAnsi" w:hAnsiTheme="minorHAnsi" w:cstheme="minorHAnsi"/>
          <w:sz w:val="24"/>
          <w:szCs w:val="24"/>
        </w:rPr>
        <w:t>Designar un contacto de la empresa para solucionar cualquier inconveniente o requerimiento que pudiera presentarse;</w:t>
      </w:r>
    </w:p>
    <w:p w:rsidR="00003F67" w:rsidRPr="00512A53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64FD1">
        <w:rPr>
          <w:rFonts w:asciiTheme="minorHAnsi" w:hAnsiTheme="minorHAnsi" w:cstheme="minorHAnsi"/>
          <w:sz w:val="24"/>
          <w:szCs w:val="24"/>
        </w:rPr>
        <w:t>Deberá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realizar la entrega del servicio o bien en el lugar establecido.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4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.2.- OBLIGACIONES DE LA CONTRATANTE: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>Término para la atención o solución de peticiones o problemas: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Hasta el término </w:t>
      </w:r>
      <w:r w:rsidRPr="00C64FD1">
        <w:rPr>
          <w:rFonts w:asciiTheme="minorHAnsi" w:hAnsiTheme="minorHAnsi" w:cstheme="minorHAnsi"/>
          <w:sz w:val="24"/>
          <w:szCs w:val="24"/>
          <w:lang w:val="es-ES_tradnl"/>
        </w:rPr>
        <w:t xml:space="preserve">de 1 día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la parte contratante dará solución a las peticiones y problemas que se presenten en la ejecución de la orden, a partir de la identificación de su necesidad o petición formal, al igual de soporte técnico derivado por el servicio prestado.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 xml:space="preserve">Obligaciones adicionales del contratante: </w:t>
      </w:r>
      <w:r w:rsidRPr="00512A53">
        <w:rPr>
          <w:rFonts w:asciiTheme="minorHAnsi" w:hAnsiTheme="minorHAnsi" w:cstheme="minorHAnsi"/>
          <w:sz w:val="24"/>
          <w:szCs w:val="24"/>
        </w:rPr>
        <w:t>acorde con la naturaleza de la contratación la entidad contratante podrá establecer condiciones adicionales que considere pertinentes.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</w:rPr>
        <w:t>5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MULTAS: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Por cada día de retraso o incumplimiento en la ejecución de las obligaciones contractuales, se aplicará la multa de 1x1000 del valor de la orden.</w:t>
      </w:r>
      <w:r w:rsidR="00512A53">
        <w:rPr>
          <w:rFonts w:asciiTheme="minorHAnsi" w:hAnsiTheme="minorHAnsi" w:cstheme="minorHAnsi"/>
          <w:sz w:val="24"/>
          <w:szCs w:val="24"/>
        </w:rPr>
        <w:t xml:space="preserve"> </w:t>
      </w:r>
      <w:r w:rsidRPr="00512A53">
        <w:rPr>
          <w:rFonts w:asciiTheme="minorHAnsi" w:hAnsiTheme="minorHAnsi" w:cstheme="minorHAnsi"/>
          <w:sz w:val="24"/>
          <w:szCs w:val="24"/>
        </w:rPr>
        <w:t>El pago de las multas no libera al contratista del cumplimiento de sus obligaciones.</w:t>
      </w:r>
    </w:p>
    <w:p w:rsidR="00AE034C" w:rsidRPr="00512A53" w:rsidRDefault="00AE034C" w:rsidP="00C64FD1">
      <w:pPr>
        <w:pStyle w:val="Sinespaciado"/>
        <w:pBdr>
          <w:bottom w:val="none" w:sz="4" w:space="31" w:color="000000"/>
        </w:pBdr>
        <w:jc w:val="both"/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</w:pPr>
      <w:r w:rsidRPr="00512A53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1</w:t>
      </w:r>
      <w:r w:rsidR="00C64FD1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6</w:t>
      </w:r>
      <w:r w:rsidRPr="00512A53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.- ADMINISTRADOR DE LA ORDEN (SUGERIDO)</w:t>
      </w:r>
    </w:p>
    <w:p w:rsidR="00AE034C" w:rsidRDefault="00AE034C" w:rsidP="00C64FD1">
      <w:pPr>
        <w:pBdr>
          <w:bottom w:val="none" w:sz="4" w:space="31" w:color="000000"/>
        </w:pBd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Se sugiere a la autoridad competente en concordancia a lo estipulado en la Resolución Nro. 001-2020 se </w:t>
      </w:r>
      <w:r w:rsidR="00B44E36"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designe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al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 Ing.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Michael Samaniego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,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Analista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 de Tecnologías de la Información y Comunicación, para que se encargue de verificar que el servicio objeto de la Orden de Compra, cumpla con las condiciones establecidas en la Orden e Informe Técnico de la Necesidad.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A0157" w:rsidRPr="00512A53" w:rsidRDefault="000F2B51" w:rsidP="00C64FD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sectPr w:rsidR="00FA0157" w:rsidRPr="00512A53" w:rsidSect="00C42FA1">
      <w:headerReference w:type="default" r:id="rId8"/>
      <w:footerReference w:type="default" r:id="rId9"/>
      <w:pgSz w:w="12240" w:h="15840"/>
      <w:pgMar w:top="426" w:right="1080" w:bottom="1276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BD" w:rsidRDefault="00A94EBD" w:rsidP="00A41983">
      <w:pPr>
        <w:spacing w:after="0" w:line="240" w:lineRule="auto"/>
      </w:pPr>
      <w:r>
        <w:separator/>
      </w:r>
    </w:p>
  </w:endnote>
  <w:endnote w:type="continuationSeparator" w:id="0">
    <w:p w:rsidR="00A94EBD" w:rsidRDefault="00A94EBD" w:rsidP="00A4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75" w:rsidRDefault="00546DB6" w:rsidP="000F2B51">
    <w:pPr>
      <w:pStyle w:val="Piedepgina"/>
      <w:tabs>
        <w:tab w:val="clear" w:pos="4419"/>
        <w:tab w:val="clear" w:pos="8838"/>
        <w:tab w:val="left" w:pos="2355"/>
      </w:tabs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0F224687" wp14:editId="30F860A4">
          <wp:simplePos x="0" y="0"/>
          <wp:positionH relativeFrom="margin">
            <wp:posOffset>-1191297</wp:posOffset>
          </wp:positionH>
          <wp:positionV relativeFrom="paragraph">
            <wp:posOffset>-497840</wp:posOffset>
          </wp:positionV>
          <wp:extent cx="8368714" cy="1275478"/>
          <wp:effectExtent l="0" t="0" r="0" b="127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hatsApp Image 2020-09-28 at 10.48.5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601" cy="1279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B5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BD" w:rsidRDefault="00A94EBD" w:rsidP="00A41983">
      <w:pPr>
        <w:spacing w:after="0" w:line="240" w:lineRule="auto"/>
      </w:pPr>
      <w:r>
        <w:separator/>
      </w:r>
    </w:p>
  </w:footnote>
  <w:footnote w:type="continuationSeparator" w:id="0">
    <w:p w:rsidR="00A94EBD" w:rsidRDefault="00A94EBD" w:rsidP="00A4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83" w:rsidRDefault="00996573" w:rsidP="00546DB6">
    <w:pPr>
      <w:pStyle w:val="Encabezado"/>
      <w:tabs>
        <w:tab w:val="clear" w:pos="4419"/>
        <w:tab w:val="clear" w:pos="8838"/>
        <w:tab w:val="left" w:pos="720"/>
        <w:tab w:val="left" w:pos="3965"/>
      </w:tabs>
    </w:pPr>
    <w:r>
      <w:rPr>
        <w:noProof/>
        <w:lang w:eastAsia="es-EC"/>
      </w:rPr>
      <w:t xml:space="preserve"> </w:t>
    </w:r>
    <w:r w:rsidR="00546DB6">
      <w:rPr>
        <w:noProof/>
        <w:lang w:eastAsia="es-EC"/>
      </w:rPr>
      <w:tab/>
    </w:r>
    <w:r w:rsidR="00546DB6">
      <w:rPr>
        <w:noProof/>
        <w:lang w:eastAsia="es-EC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A6A9F"/>
    <w:multiLevelType w:val="hybridMultilevel"/>
    <w:tmpl w:val="370893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29D8"/>
    <w:multiLevelType w:val="hybridMultilevel"/>
    <w:tmpl w:val="E326C8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1266E"/>
    <w:multiLevelType w:val="hybridMultilevel"/>
    <w:tmpl w:val="FFF27CF8"/>
    <w:lvl w:ilvl="0" w:tplc="B00EA1E6">
      <w:start w:val="1"/>
      <w:numFmt w:val="bullet"/>
      <w:lvlText w:val=""/>
      <w:lvlJc w:val="left"/>
      <w:pPr>
        <w:ind w:left="720" w:hanging="355"/>
      </w:pPr>
      <w:rPr>
        <w:rFonts w:ascii="Wingdings" w:hAnsi="Wingdings" w:hint="default"/>
      </w:rPr>
    </w:lvl>
    <w:lvl w:ilvl="1" w:tplc="95D2129E">
      <w:start w:val="1"/>
      <w:numFmt w:val="bullet"/>
      <w:lvlText w:val="o"/>
      <w:lvlJc w:val="left"/>
      <w:pPr>
        <w:ind w:left="1440" w:hanging="355"/>
      </w:pPr>
      <w:rPr>
        <w:rFonts w:ascii="Courier New" w:hAnsi="Courier New" w:cs="Courier New" w:hint="default"/>
      </w:rPr>
    </w:lvl>
    <w:lvl w:ilvl="2" w:tplc="8A18496A">
      <w:start w:val="1"/>
      <w:numFmt w:val="bullet"/>
      <w:lvlText w:val=""/>
      <w:lvlJc w:val="left"/>
      <w:pPr>
        <w:ind w:left="2160" w:hanging="355"/>
      </w:pPr>
      <w:rPr>
        <w:rFonts w:ascii="Wingdings" w:hAnsi="Wingdings" w:hint="default"/>
      </w:rPr>
    </w:lvl>
    <w:lvl w:ilvl="3" w:tplc="E88E26BC">
      <w:start w:val="1"/>
      <w:numFmt w:val="bullet"/>
      <w:lvlText w:val=""/>
      <w:lvlJc w:val="left"/>
      <w:pPr>
        <w:ind w:left="2880" w:hanging="355"/>
      </w:pPr>
      <w:rPr>
        <w:rFonts w:ascii="Symbol" w:hAnsi="Symbol" w:hint="default"/>
      </w:rPr>
    </w:lvl>
    <w:lvl w:ilvl="4" w:tplc="40404C0E">
      <w:start w:val="1"/>
      <w:numFmt w:val="bullet"/>
      <w:lvlText w:val="o"/>
      <w:lvlJc w:val="left"/>
      <w:pPr>
        <w:ind w:left="3600" w:hanging="355"/>
      </w:pPr>
      <w:rPr>
        <w:rFonts w:ascii="Courier New" w:hAnsi="Courier New" w:cs="Courier New" w:hint="default"/>
      </w:rPr>
    </w:lvl>
    <w:lvl w:ilvl="5" w:tplc="4402559E">
      <w:start w:val="1"/>
      <w:numFmt w:val="bullet"/>
      <w:lvlText w:val=""/>
      <w:lvlJc w:val="left"/>
      <w:pPr>
        <w:ind w:left="4320" w:hanging="355"/>
      </w:pPr>
      <w:rPr>
        <w:rFonts w:ascii="Wingdings" w:hAnsi="Wingdings" w:hint="default"/>
      </w:rPr>
    </w:lvl>
    <w:lvl w:ilvl="6" w:tplc="0422E1D0">
      <w:start w:val="1"/>
      <w:numFmt w:val="bullet"/>
      <w:lvlText w:val=""/>
      <w:lvlJc w:val="left"/>
      <w:pPr>
        <w:ind w:left="5040" w:hanging="355"/>
      </w:pPr>
      <w:rPr>
        <w:rFonts w:ascii="Symbol" w:hAnsi="Symbol" w:hint="default"/>
      </w:rPr>
    </w:lvl>
    <w:lvl w:ilvl="7" w:tplc="78D857D6">
      <w:start w:val="1"/>
      <w:numFmt w:val="bullet"/>
      <w:lvlText w:val="o"/>
      <w:lvlJc w:val="left"/>
      <w:pPr>
        <w:ind w:left="5760" w:hanging="355"/>
      </w:pPr>
      <w:rPr>
        <w:rFonts w:ascii="Courier New" w:hAnsi="Courier New" w:cs="Courier New" w:hint="default"/>
      </w:rPr>
    </w:lvl>
    <w:lvl w:ilvl="8" w:tplc="2168D3E0">
      <w:start w:val="1"/>
      <w:numFmt w:val="bullet"/>
      <w:lvlText w:val=""/>
      <w:lvlJc w:val="left"/>
      <w:pPr>
        <w:ind w:left="6480" w:hanging="355"/>
      </w:pPr>
      <w:rPr>
        <w:rFonts w:ascii="Wingdings" w:hAnsi="Wingdings" w:hint="default"/>
      </w:rPr>
    </w:lvl>
  </w:abstractNum>
  <w:abstractNum w:abstractNumId="3" w15:restartNumberingAfterBreak="0">
    <w:nsid w:val="79365E1A"/>
    <w:multiLevelType w:val="hybridMultilevel"/>
    <w:tmpl w:val="60680370"/>
    <w:styleLink w:val="WWNum7"/>
    <w:lvl w:ilvl="0" w:tplc="61CAFF56">
      <w:start w:val="1"/>
      <w:numFmt w:val="lowerLetter"/>
      <w:pStyle w:val="WWNum7"/>
      <w:lvlText w:val="%1)"/>
      <w:lvlJc w:val="left"/>
      <w:pPr>
        <w:ind w:left="1211" w:hanging="355"/>
      </w:pPr>
      <w:rPr>
        <w:rFonts w:cs="Arial"/>
        <w:lang w:eastAsia="en-US"/>
      </w:rPr>
    </w:lvl>
    <w:lvl w:ilvl="1" w:tplc="0C0A4DFE">
      <w:start w:val="1"/>
      <w:numFmt w:val="decimal"/>
      <w:lvlText w:val="%2."/>
      <w:lvlJc w:val="left"/>
      <w:pPr>
        <w:ind w:left="1080" w:hanging="355"/>
      </w:pPr>
    </w:lvl>
    <w:lvl w:ilvl="2" w:tplc="72BCF142">
      <w:start w:val="1"/>
      <w:numFmt w:val="decimal"/>
      <w:lvlText w:val="%3."/>
      <w:lvlJc w:val="left"/>
      <w:pPr>
        <w:ind w:left="1440" w:hanging="355"/>
      </w:pPr>
    </w:lvl>
    <w:lvl w:ilvl="3" w:tplc="34447636">
      <w:start w:val="1"/>
      <w:numFmt w:val="decimal"/>
      <w:lvlText w:val="%4."/>
      <w:lvlJc w:val="left"/>
      <w:pPr>
        <w:ind w:left="1800" w:hanging="355"/>
      </w:pPr>
    </w:lvl>
    <w:lvl w:ilvl="4" w:tplc="748A6F64">
      <w:start w:val="1"/>
      <w:numFmt w:val="decimal"/>
      <w:lvlText w:val="%5."/>
      <w:lvlJc w:val="left"/>
      <w:pPr>
        <w:ind w:left="2160" w:hanging="355"/>
      </w:pPr>
    </w:lvl>
    <w:lvl w:ilvl="5" w:tplc="CB9CDB66">
      <w:start w:val="1"/>
      <w:numFmt w:val="decimal"/>
      <w:lvlText w:val="%6."/>
      <w:lvlJc w:val="left"/>
      <w:pPr>
        <w:ind w:left="2520" w:hanging="355"/>
      </w:pPr>
    </w:lvl>
    <w:lvl w:ilvl="6" w:tplc="76F07174">
      <w:start w:val="1"/>
      <w:numFmt w:val="decimal"/>
      <w:lvlText w:val="%7."/>
      <w:lvlJc w:val="left"/>
      <w:pPr>
        <w:ind w:left="2880" w:hanging="355"/>
      </w:pPr>
    </w:lvl>
    <w:lvl w:ilvl="7" w:tplc="0FF4563E">
      <w:start w:val="1"/>
      <w:numFmt w:val="decimal"/>
      <w:lvlText w:val="%8."/>
      <w:lvlJc w:val="left"/>
      <w:pPr>
        <w:ind w:left="3240" w:hanging="355"/>
      </w:pPr>
    </w:lvl>
    <w:lvl w:ilvl="8" w:tplc="1CBA8032">
      <w:start w:val="1"/>
      <w:numFmt w:val="decimal"/>
      <w:lvlText w:val="%9."/>
      <w:lvlJc w:val="left"/>
      <w:pPr>
        <w:ind w:left="3600" w:hanging="355"/>
      </w:pPr>
    </w:lvl>
  </w:abstractNum>
  <w:abstractNum w:abstractNumId="4" w15:restartNumberingAfterBreak="0">
    <w:nsid w:val="79423906"/>
    <w:multiLevelType w:val="hybridMultilevel"/>
    <w:tmpl w:val="AF2A7C7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lvl w:ilvl="0" w:tplc="61CAFF56">
        <w:start w:val="1"/>
        <w:numFmt w:val="lowerLetter"/>
        <w:pStyle w:val="WWNum7"/>
        <w:lvlText w:val="%1)"/>
        <w:lvlJc w:val="left"/>
        <w:pPr>
          <w:ind w:left="1211" w:hanging="355"/>
        </w:pPr>
        <w:rPr>
          <w:rFonts w:cs="Arial"/>
          <w:b w:val="0"/>
          <w:lang w:eastAsia="en-US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83"/>
    <w:rsid w:val="00003F67"/>
    <w:rsid w:val="00033424"/>
    <w:rsid w:val="00041E69"/>
    <w:rsid w:val="00046020"/>
    <w:rsid w:val="00071D19"/>
    <w:rsid w:val="00075A1E"/>
    <w:rsid w:val="000B4B03"/>
    <w:rsid w:val="000D259B"/>
    <w:rsid w:val="000F2B51"/>
    <w:rsid w:val="001477D9"/>
    <w:rsid w:val="00147962"/>
    <w:rsid w:val="00163F0F"/>
    <w:rsid w:val="00183236"/>
    <w:rsid w:val="001832B7"/>
    <w:rsid w:val="00195D3A"/>
    <w:rsid w:val="001D4F56"/>
    <w:rsid w:val="00254882"/>
    <w:rsid w:val="00275BC8"/>
    <w:rsid w:val="002878BC"/>
    <w:rsid w:val="003019FB"/>
    <w:rsid w:val="003432A4"/>
    <w:rsid w:val="003906CD"/>
    <w:rsid w:val="003A34A4"/>
    <w:rsid w:val="003B30D1"/>
    <w:rsid w:val="003C37B8"/>
    <w:rsid w:val="00415A43"/>
    <w:rsid w:val="00485E5C"/>
    <w:rsid w:val="004A4850"/>
    <w:rsid w:val="00506DE5"/>
    <w:rsid w:val="00512A53"/>
    <w:rsid w:val="00546DB6"/>
    <w:rsid w:val="00556AF6"/>
    <w:rsid w:val="00617CB0"/>
    <w:rsid w:val="00624127"/>
    <w:rsid w:val="00640FF8"/>
    <w:rsid w:val="006855B5"/>
    <w:rsid w:val="006D32DB"/>
    <w:rsid w:val="00745D02"/>
    <w:rsid w:val="007624C9"/>
    <w:rsid w:val="0077470E"/>
    <w:rsid w:val="00790180"/>
    <w:rsid w:val="007C38CF"/>
    <w:rsid w:val="007C77D1"/>
    <w:rsid w:val="00822522"/>
    <w:rsid w:val="008705C1"/>
    <w:rsid w:val="008A1BDC"/>
    <w:rsid w:val="00996573"/>
    <w:rsid w:val="009F1A47"/>
    <w:rsid w:val="00A41983"/>
    <w:rsid w:val="00A77069"/>
    <w:rsid w:val="00A93296"/>
    <w:rsid w:val="00A94EBD"/>
    <w:rsid w:val="00AC5A19"/>
    <w:rsid w:val="00AE034C"/>
    <w:rsid w:val="00AE5CF4"/>
    <w:rsid w:val="00B04FA8"/>
    <w:rsid w:val="00B44084"/>
    <w:rsid w:val="00B44E36"/>
    <w:rsid w:val="00B60544"/>
    <w:rsid w:val="00B70DCD"/>
    <w:rsid w:val="00C274BF"/>
    <w:rsid w:val="00C42FA1"/>
    <w:rsid w:val="00C47871"/>
    <w:rsid w:val="00C64FD1"/>
    <w:rsid w:val="00D07587"/>
    <w:rsid w:val="00D34ECE"/>
    <w:rsid w:val="00D73B63"/>
    <w:rsid w:val="00D95B77"/>
    <w:rsid w:val="00E25A53"/>
    <w:rsid w:val="00E53975"/>
    <w:rsid w:val="00E7527E"/>
    <w:rsid w:val="00E83387"/>
    <w:rsid w:val="00EC096E"/>
    <w:rsid w:val="00F279C2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2DB718E-1872-4DA6-9B02-F2D44716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63"/>
    <w:pPr>
      <w:suppressAutoHyphens/>
      <w:spacing w:after="200" w:line="276" w:lineRule="auto"/>
    </w:pPr>
    <w:rPr>
      <w:rFonts w:ascii="Arial" w:eastAsia="Calibri" w:hAnsi="Arial" w:cs="Times New Roman"/>
      <w:kern w:val="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41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1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19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983"/>
  </w:style>
  <w:style w:type="paragraph" w:styleId="Piedepgina">
    <w:name w:val="footer"/>
    <w:basedOn w:val="Normal"/>
    <w:link w:val="PiedepginaCar"/>
    <w:uiPriority w:val="99"/>
    <w:unhideWhenUsed/>
    <w:rsid w:val="00A41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983"/>
  </w:style>
  <w:style w:type="character" w:customStyle="1" w:styleId="Ttulo1Car">
    <w:name w:val="Título 1 Car"/>
    <w:basedOn w:val="Fuentedeprrafopredeter"/>
    <w:link w:val="Ttulo1"/>
    <w:uiPriority w:val="9"/>
    <w:rsid w:val="00A41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419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419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aliases w:val="TIT 2 IND,APA,Texto,Capítulo,Bullet List,FooterText,numbered,List Paragraph1,Paragraphe de liste1,lp1,lista tabla,Multi Level List 1,Bullet 1,Use Case List Paragraph,Párrafo de lista ANEXO,cuadro ghf1,Listado,Titulo Bloque"/>
    <w:basedOn w:val="Normal"/>
    <w:link w:val="PrrafodelistaCar"/>
    <w:qFormat/>
    <w:rsid w:val="00A419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A41983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57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D73B63"/>
    <w:pPr>
      <w:suppressAutoHyphens/>
      <w:spacing w:after="0" w:line="240" w:lineRule="auto"/>
    </w:pPr>
    <w:rPr>
      <w:rFonts w:ascii="Arial" w:eastAsia="Calibri" w:hAnsi="Arial" w:cs="Times New Roman"/>
      <w:kern w:val="2"/>
      <w:lang w:eastAsia="ar-SA"/>
    </w:rPr>
  </w:style>
  <w:style w:type="table" w:styleId="Tablaconcuadrcula">
    <w:name w:val="Table Grid"/>
    <w:basedOn w:val="Tablanormal"/>
    <w:uiPriority w:val="39"/>
    <w:rsid w:val="00D7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link w:val="Estilo2Car"/>
    <w:qFormat/>
    <w:rsid w:val="00D73B63"/>
    <w:rPr>
      <w:b/>
    </w:rPr>
  </w:style>
  <w:style w:type="paragraph" w:customStyle="1" w:styleId="Estilo3">
    <w:name w:val="Estilo3"/>
    <w:basedOn w:val="Sinespaciado"/>
    <w:link w:val="Estilo3Car"/>
    <w:qFormat/>
    <w:rsid w:val="00D73B63"/>
    <w:rPr>
      <w:rFonts w:cs="Arial"/>
    </w:rPr>
  </w:style>
  <w:style w:type="character" w:customStyle="1" w:styleId="Estilo2Car">
    <w:name w:val="Estilo2 Car"/>
    <w:basedOn w:val="Fuentedeprrafopredeter"/>
    <w:link w:val="Estilo2"/>
    <w:rsid w:val="00D73B63"/>
    <w:rPr>
      <w:rFonts w:ascii="Arial" w:eastAsia="Calibri" w:hAnsi="Arial" w:cs="Times New Roman"/>
      <w:b/>
      <w:kern w:val="2"/>
      <w:lang w:eastAsia="ar-SA"/>
    </w:rPr>
  </w:style>
  <w:style w:type="paragraph" w:customStyle="1" w:styleId="Estilo4">
    <w:name w:val="Estilo4"/>
    <w:basedOn w:val="Sinespaciado"/>
    <w:link w:val="Estilo4Car"/>
    <w:qFormat/>
    <w:rsid w:val="00D73B63"/>
    <w:pPr>
      <w:jc w:val="both"/>
    </w:pPr>
    <w:rPr>
      <w:rFonts w:cs="Arial"/>
    </w:rPr>
  </w:style>
  <w:style w:type="character" w:customStyle="1" w:styleId="SinespaciadoCar">
    <w:name w:val="Sin espaciado Car"/>
    <w:basedOn w:val="Fuentedeprrafopredeter"/>
    <w:link w:val="Sinespaciado"/>
    <w:rsid w:val="00D73B63"/>
    <w:rPr>
      <w:rFonts w:ascii="Arial" w:eastAsia="Calibri" w:hAnsi="Arial" w:cs="Times New Roman"/>
      <w:kern w:val="2"/>
      <w:lang w:eastAsia="ar-SA"/>
    </w:rPr>
  </w:style>
  <w:style w:type="character" w:customStyle="1" w:styleId="Estilo3Car">
    <w:name w:val="Estilo3 Car"/>
    <w:basedOn w:val="SinespaciadoCar"/>
    <w:link w:val="Estilo3"/>
    <w:rsid w:val="00D73B63"/>
    <w:rPr>
      <w:rFonts w:ascii="Arial" w:eastAsia="Calibri" w:hAnsi="Arial" w:cs="Arial"/>
      <w:kern w:val="2"/>
      <w:lang w:eastAsia="ar-SA"/>
    </w:rPr>
  </w:style>
  <w:style w:type="character" w:customStyle="1" w:styleId="Estilo4Car">
    <w:name w:val="Estilo4 Car"/>
    <w:basedOn w:val="SinespaciadoCar"/>
    <w:link w:val="Estilo4"/>
    <w:rsid w:val="00D73B63"/>
    <w:rPr>
      <w:rFonts w:ascii="Arial" w:eastAsia="Calibri" w:hAnsi="Arial" w:cs="Arial"/>
      <w:kern w:val="2"/>
      <w:lang w:eastAsia="ar-SA"/>
    </w:rPr>
  </w:style>
  <w:style w:type="character" w:customStyle="1" w:styleId="PrrafodelistaCar">
    <w:name w:val="Párrafo de lista Car"/>
    <w:aliases w:val="TIT 2 IND Car,APA Car,Texto Car,Capítulo Car,Bullet List Car,FooterText Car,numbered Car,List Paragraph1 Car,Paragraphe de liste1 Car,lp1 Car,lista tabla Car,Multi Level List 1 Car,Bullet 1 Car,Use Case List Paragraph Car"/>
    <w:link w:val="Prrafodelista"/>
    <w:uiPriority w:val="34"/>
    <w:rsid w:val="00D73B63"/>
  </w:style>
  <w:style w:type="paragraph" w:customStyle="1" w:styleId="Estilo1">
    <w:name w:val="Estilo1"/>
    <w:basedOn w:val="Normal"/>
    <w:link w:val="Estilo1Car"/>
    <w:qFormat/>
    <w:rsid w:val="00D73B63"/>
    <w:pPr>
      <w:suppressAutoHyphens w:val="0"/>
      <w:spacing w:after="0" w:line="240" w:lineRule="auto"/>
      <w:jc w:val="both"/>
    </w:pPr>
    <w:rPr>
      <w:rFonts w:eastAsiaTheme="minorHAnsi" w:cs="Arial"/>
      <w:b/>
      <w:color w:val="000000" w:themeColor="text1"/>
      <w:kern w:val="0"/>
      <w:sz w:val="24"/>
      <w:szCs w:val="24"/>
      <w:lang w:eastAsia="en-US"/>
    </w:rPr>
  </w:style>
  <w:style w:type="character" w:customStyle="1" w:styleId="Estilo1Car">
    <w:name w:val="Estilo1 Car"/>
    <w:basedOn w:val="Fuentedeprrafopredeter"/>
    <w:link w:val="Estilo1"/>
    <w:rsid w:val="00D73B63"/>
    <w:rPr>
      <w:rFonts w:ascii="Arial" w:hAnsi="Arial" w:cs="Arial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before="100" w:after="119" w:line="100" w:lineRule="atLeas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Standard">
    <w:name w:val="Standard"/>
    <w:qFormat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s-EC"/>
    </w:rPr>
  </w:style>
  <w:style w:type="paragraph" w:customStyle="1" w:styleId="Sinespaciado1">
    <w:name w:val="Sin espaciado1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val="es-ES" w:eastAsia="zh-CN"/>
    </w:rPr>
  </w:style>
  <w:style w:type="paragraph" w:customStyle="1" w:styleId="Default">
    <w:name w:val="Default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paragraph" w:customStyle="1" w:styleId="Sinespaciado2">
    <w:name w:val="Sin espaciado2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Calibri" w:eastAsia="Calibri" w:hAnsi="Calibri" w:cs="Calibri"/>
      <w:lang w:eastAsia="ar-SA"/>
    </w:rPr>
  </w:style>
  <w:style w:type="numbering" w:customStyle="1" w:styleId="WWNum7">
    <w:name w:val="WWNum7"/>
    <w:basedOn w:val="Sinlista"/>
    <w:rsid w:val="00003F67"/>
    <w:pPr>
      <w:numPr>
        <w:numId w:val="6"/>
      </w:numPr>
    </w:pPr>
  </w:style>
  <w:style w:type="character" w:customStyle="1" w:styleId="textoazul">
    <w:name w:val="textoazul"/>
    <w:basedOn w:val="Fuentedeprrafopredeter"/>
    <w:rsid w:val="00D0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27F1-2BA2-4560-90A9-A428E3C0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D. Rodríguez Urbina</dc:creator>
  <cp:keywords/>
  <dc:description/>
  <cp:lastModifiedBy>Raquel Sanchez</cp:lastModifiedBy>
  <cp:revision>3</cp:revision>
  <cp:lastPrinted>2020-08-03T20:09:00Z</cp:lastPrinted>
  <dcterms:created xsi:type="dcterms:W3CDTF">2021-01-12T14:42:00Z</dcterms:created>
  <dcterms:modified xsi:type="dcterms:W3CDTF">2021-01-14T15:10:00Z</dcterms:modified>
</cp:coreProperties>
</file>