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0688861E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524347">
        <w:rPr>
          <w:rFonts w:ascii="Tahoma" w:hAnsi="Tahoma" w:cs="Tahoma"/>
          <w:b/>
          <w:spacing w:val="-2"/>
        </w:rPr>
        <w:t>CONTRATACION DE DESADUANIZACIÒN, LIBERACIÒN, TRASLADO Y MANEJO OPORTUNO DE LAS DONACIONES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690F87B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0C5461BF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24347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dy.romero@gestionderiesgos.gob.ec" TargetMode="External"/><Relationship Id="rId10" Type="http://schemas.openxmlformats.org/officeDocument/2006/relationships/hyperlink" Target="mailto:lady.romero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5643-7A5F-4D34-86B7-845D7706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4</cp:revision>
  <cp:lastPrinted>2020-11-10T21:10:00Z</cp:lastPrinted>
  <dcterms:created xsi:type="dcterms:W3CDTF">2020-11-11T15:59:00Z</dcterms:created>
  <dcterms:modified xsi:type="dcterms:W3CDTF">2020-11-11T16:04:00Z</dcterms:modified>
</cp:coreProperties>
</file>